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Приложение 1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Ранжированный итоговый рейтинг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организаций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8"/>
        <w:gridCol w:w="6020"/>
        <w:gridCol w:w="1983"/>
      </w:tblGrid>
      <w:tr>
        <w:trPr>
          <w:trHeight w:val="24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 по НОК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ГАУЗ ТО «Областной лечебно-реабилитационный центр»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ГАУЗ ТО «ЛРЦ «Градостроитель»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Тюменская областная общественная организация «Будущее начинается сейчас»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АНО «Областной детский оздоровительно-образовательный центр «Ребячья республика»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 ЯНАО «Реабилитационный центр «Большой Тараскуль»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 «Областной клинический фтизиопульмонологический центр»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«Родильный дом №2»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«Центр профилактики и борьбы со СПИД»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«Областная клиническая больница №1»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ГАУЗ ТО «Областной кожно-венерологический диспансер»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Тюменской области «Госпиталь для ветеранов войн»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Тюменской области «Многопрофильный консультативно-диагностический центр»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«Областная клиническая больница №2»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ГАУЗ ТО «Областная стоматологическая поликлиника»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«Родильный дом №3»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>
        <w:trPr>
          <w:trHeight w:val="318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ТО «Перинатальный центр»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>
        <w:trPr>
          <w:trHeight w:val="385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«Стоматологическая поликлиника №3»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АНО «Футбол-Хоккей»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ГАУЗ Тюменской области «Тобольская городская стоматологическая поликлиника»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96,9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«Центр нефрологии и диализа»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МЧУ ДПО «Нефросовет»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96,1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«ЦВМиР имени В.А. Зольникова»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</w:tr>
      <w:tr>
        <w:trPr>
          <w:trHeight w:val="407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ЛПУ Поликлиника «Кросно»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«НПО «Востокэкосоцтехнология-ТНМЦ «Диатест»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Индивидуальный предприниматель Гурьева Елена Михайловна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82,4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567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f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497d7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a1f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LibreOffice/7.2.5.2$Windows_X86_64 LibreOffice_project/499f9727c189e6ef3471021d6132d4c694f357e5</Application>
  <AppVersion>15.0000</AppVersion>
  <Pages>2</Pages>
  <Words>215</Words>
  <Characters>1463</Characters>
  <CharactersWithSpaces>1845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2021-11-09T10:59:00Z</dcterms:created>
  <dc:creator>Ковалева Г.В.</dc:creator>
  <dc:description/>
  <dc:language>ru-RU</dc:language>
  <cp:lastModifiedBy/>
  <dcterms:modified xsi:type="dcterms:W3CDTF">2022-12-20T16:47:48Z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